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003" w:rsidRDefault="005A56D3">
      <w:pPr>
        <w:jc w:val="center"/>
        <w:rPr>
          <w:rFonts w:asciiTheme="minorEastAsia" w:eastAsiaTheme="minorEastAsia" w:hAnsiTheme="minorEastAsia" w:cstheme="minorEastAsia"/>
          <w:b/>
          <w:bCs/>
          <w:sz w:val="44"/>
          <w:szCs w:val="44"/>
        </w:rPr>
      </w:pPr>
      <w:r>
        <w:rPr>
          <w:rFonts w:asciiTheme="minorEastAsia" w:eastAsiaTheme="minorEastAsia" w:hAnsiTheme="minorEastAsia" w:cstheme="minorEastAsia" w:hint="eastAsia"/>
          <w:b/>
          <w:bCs/>
          <w:sz w:val="44"/>
          <w:szCs w:val="44"/>
        </w:rPr>
        <w:t>东莞理工学院两校区垃圾清运车采购用户需求书</w:t>
      </w:r>
    </w:p>
    <w:p w:rsidR="004A2003" w:rsidRDefault="005A56D3">
      <w:pPr>
        <w:spacing w:line="336" w:lineRule="auto"/>
        <w:ind w:firstLineChars="200" w:firstLine="643"/>
        <w:rPr>
          <w:rFonts w:ascii="黑体" w:eastAsia="黑体" w:hAnsi="黑体" w:cs="黑体"/>
          <w:b/>
          <w:sz w:val="32"/>
          <w:szCs w:val="32"/>
        </w:rPr>
      </w:pPr>
      <w:r>
        <w:rPr>
          <w:rFonts w:ascii="黑体" w:eastAsia="黑体" w:hAnsi="黑体" w:cs="黑体" w:hint="eastAsia"/>
          <w:b/>
          <w:sz w:val="32"/>
          <w:szCs w:val="32"/>
        </w:rPr>
        <w:t>一、项目概况</w:t>
      </w:r>
    </w:p>
    <w:p w:rsidR="004A2003" w:rsidRDefault="005A56D3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因两校区生活垃圾清运工作需要采购4台三轮侧翻桶清运车（松山湖校区3台，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莞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城校区1台），费用36000元/台，共计144000元。</w:t>
      </w:r>
    </w:p>
    <w:p w:rsidR="004A2003" w:rsidRDefault="005A56D3">
      <w:pPr>
        <w:numPr>
          <w:ilvl w:val="0"/>
          <w:numId w:val="1"/>
        </w:numPr>
        <w:spacing w:line="336" w:lineRule="auto"/>
        <w:ind w:firstLineChars="200" w:firstLine="643"/>
        <w:rPr>
          <w:rFonts w:ascii="黑体" w:eastAsia="黑体" w:hAnsi="黑体" w:cs="黑体"/>
          <w:b/>
          <w:sz w:val="32"/>
          <w:szCs w:val="32"/>
        </w:rPr>
      </w:pPr>
      <w:r>
        <w:rPr>
          <w:rFonts w:ascii="黑体" w:eastAsia="黑体" w:hAnsi="黑体" w:cs="黑体" w:hint="eastAsia"/>
          <w:b/>
          <w:sz w:val="32"/>
          <w:szCs w:val="32"/>
        </w:rPr>
        <w:t>车型要求</w:t>
      </w:r>
    </w:p>
    <w:p w:rsidR="0046179C" w:rsidRPr="00CB4B6D" w:rsidRDefault="0046179C" w:rsidP="0046179C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B4B6D">
        <w:rPr>
          <w:rFonts w:ascii="仿宋_GB2312" w:eastAsia="仿宋_GB2312" w:hAnsi="仿宋_GB2312" w:cs="仿宋_GB2312" w:hint="eastAsia"/>
          <w:sz w:val="32"/>
          <w:szCs w:val="32"/>
        </w:rPr>
        <w:t>品牌型号：</w:t>
      </w:r>
      <w:proofErr w:type="gramStart"/>
      <w:r w:rsidRPr="00CB4B6D">
        <w:rPr>
          <w:rFonts w:ascii="仿宋_GB2312" w:eastAsia="仿宋_GB2312" w:hAnsi="仿宋_GB2312" w:cs="仿宋_GB2312" w:hint="eastAsia"/>
          <w:sz w:val="32"/>
          <w:szCs w:val="32"/>
        </w:rPr>
        <w:t>快捷牌</w:t>
      </w:r>
      <w:proofErr w:type="gramEnd"/>
      <w:r w:rsidRPr="00CB4B6D">
        <w:rPr>
          <w:rFonts w:ascii="仿宋_GB2312" w:eastAsia="仿宋_GB2312" w:hAnsi="仿宋_GB2312" w:cs="仿宋_GB2312" w:hint="eastAsia"/>
          <w:sz w:val="32"/>
          <w:szCs w:val="32"/>
        </w:rPr>
        <w:t>K35</w:t>
      </w:r>
      <w:r w:rsidR="00CB4B6D"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25"/>
        <w:gridCol w:w="2312"/>
        <w:gridCol w:w="2344"/>
        <w:gridCol w:w="3441"/>
      </w:tblGrid>
      <w:tr w:rsidR="004A2003">
        <w:trPr>
          <w:trHeight w:val="285"/>
        </w:trPr>
        <w:tc>
          <w:tcPr>
            <w:tcW w:w="16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5A56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项目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4A2003" w:rsidRDefault="005A56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参数</w:t>
            </w:r>
          </w:p>
        </w:tc>
        <w:tc>
          <w:tcPr>
            <w:tcW w:w="20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5A56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366395</wp:posOffset>
                  </wp:positionV>
                  <wp:extent cx="1929765" cy="1237615"/>
                  <wp:effectExtent l="0" t="0" r="13335" b="635"/>
                  <wp:wrapNone/>
                  <wp:docPr id="4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765" cy="1237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2003">
        <w:trPr>
          <w:trHeight w:val="700"/>
        </w:trPr>
        <w:tc>
          <w:tcPr>
            <w:tcW w:w="2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5A56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技术参数</w:t>
            </w:r>
          </w:p>
        </w:tc>
        <w:tc>
          <w:tcPr>
            <w:tcW w:w="13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整车尺寸(长X宽X高)mm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3600X1410X2140（±50mm）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车厢尺寸(长X宽X高)mm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2200X1300X1250（±10mm）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载重量  kg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1000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 xml:space="preserve">整备质量   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kg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960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轮距  mm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1150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轴距  mm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2520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车厢有效容积m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³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≥3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.5m³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时速 km/h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低速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≤15，高速≤35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540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单只电池容量、数量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雷克牌72V100AH水电池或免维护电池，6只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标准电压 V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72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行走电机、功率 w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免维护无刷电机、3000W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液压电机功率w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800W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液压油泵噪音</w:t>
            </w:r>
          </w:p>
        </w:tc>
        <w:tc>
          <w:tcPr>
            <w:tcW w:w="1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≤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100db</w:t>
            </w:r>
          </w:p>
        </w:tc>
        <w:tc>
          <w:tcPr>
            <w:tcW w:w="2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车厢升降时间s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≤13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翻桶起升时间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s（空桶）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≤15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翻桶下降时间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s（空桶）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≤10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轮胎尺寸及要求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4.00-12前轮5.00-12后轮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前减震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加重型内外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簧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油压伸缩管式铁减震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前转向套管结构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方向轴套管管壁厚4 mm套管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车身颜色</w:t>
            </w:r>
          </w:p>
        </w:tc>
        <w:tc>
          <w:tcPr>
            <w:tcW w:w="339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其他垃圾标志色黑色，色标为 PANTONG Black7C</w:t>
            </w:r>
          </w:p>
        </w:tc>
      </w:tr>
      <w:tr w:rsidR="004A2003">
        <w:trPr>
          <w:trHeight w:val="285"/>
        </w:trPr>
        <w:tc>
          <w:tcPr>
            <w:tcW w:w="2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5A56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电器系统</w:t>
            </w: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车厢材质结构</w:t>
            </w:r>
          </w:p>
        </w:tc>
        <w:tc>
          <w:tcPr>
            <w:tcW w:w="339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车厢前后及左右侧板采用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1.5mm冷轧板，底板厚度1.8mm。≥8公分做防水密封处理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密封方式及搭扣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车厢有盖后门装有密封胶条，防止污水泄漏，搭扣为可调节收紧搭扣。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电控系统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采用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72V36管双模智能控制器。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控制行走方式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转把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驾驶方式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方向把式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刹车系统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车辆采用脚刹液压制动系统，误操作断电系统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制动方式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脚踩液压鼓式+手动驻车</w:t>
            </w:r>
          </w:p>
        </w:tc>
      </w:tr>
      <w:tr w:rsidR="004A2003">
        <w:trPr>
          <w:trHeight w:val="660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驾驶室材质及灯具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钢制结构，安全驾驶室采用模具冲压成型冷板材质，前一体化嵌入式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LED大灯，注塑仪表工作台，带雨刮器，警示灯，驾驶室内脚踏板采用皮革板，平整踏板。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驾驶室结构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整体冲压驾驶室（可选配驾驶室门）。</w:t>
            </w:r>
          </w:p>
        </w:tc>
      </w:tr>
      <w:tr w:rsidR="004A2003">
        <w:trPr>
          <w:trHeight w:val="560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车厢门、厢盖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侧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开式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后门可往箱体右侧270°打开，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一侧设有侧上门，箱盖采用1.2mm冷轧板。上盖开启方式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为翻桶器一侧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上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开式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，厢门采用双调节式锁扣。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线束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总成线排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线方式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高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低压双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线路：高温线高压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10平方,低压1平方</w:t>
            </w:r>
          </w:p>
        </w:tc>
      </w:tr>
      <w:tr w:rsidR="004A2003">
        <w:trPr>
          <w:trHeight w:val="660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驱动桥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采用锥度载重无链条带高低速货车式后桥：70桥管，大直径250mm刹车鼓，加粗半轴，液压鼓式刹车。</w:t>
            </w:r>
          </w:p>
        </w:tc>
      </w:tr>
      <w:tr w:rsidR="004A2003">
        <w:trPr>
          <w:trHeight w:val="600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后悬挂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采用主、辅弹簧钢共2组。单组11片，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带辅簧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支架，大大提高载重能力。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油管布局方式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轨道上采用钢制高压油管和软管压制对接，并用专用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管夹固定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挂桶器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限位方式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挂桶器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下落到底有限位销。</w:t>
            </w:r>
          </w:p>
        </w:tc>
      </w:tr>
      <w:tr w:rsidR="004A2003">
        <w:trPr>
          <w:trHeight w:val="580"/>
        </w:trPr>
        <w:tc>
          <w:tcPr>
            <w:tcW w:w="2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5A56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翻桶机构</w:t>
            </w:r>
            <w:proofErr w:type="gramEnd"/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液压控制阀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采用两联带微动开关多路阀，开关与油泵同步工作，控制阀装在驾驶室内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右侧座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桶上。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液压控制阀控制方式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液压控制阀带联动开关与油泵同步工作。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翻桶轨道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材料和结构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主轨道为8号槽钢，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挂桶器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导向轮内置滚针轴承。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翻桶装置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固定方式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挂桶轨道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固定在车厢上，吊桶和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翻桶机构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和车厢采用分体连接的方式。</w:t>
            </w:r>
          </w:p>
        </w:tc>
      </w:tr>
      <w:tr w:rsidR="004A2003">
        <w:trPr>
          <w:trHeight w:val="780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翻桶装置</w:t>
            </w:r>
            <w:proofErr w:type="gramEnd"/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上置式双油缸，配合吊拉式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10mm铁板对称吊架。</w:t>
            </w:r>
            <w:proofErr w:type="gramStart"/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翻桶角度</w:t>
            </w:r>
            <w:proofErr w:type="gramEnd"/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≥138°确保垃圾清倒干净。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挂桶要求</w:t>
            </w:r>
            <w:proofErr w:type="gramEnd"/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与国标120L和240升垃圾桶配套。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挂桶上盖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拉杆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为可调节固定式。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翻桶机构</w:t>
            </w:r>
            <w:proofErr w:type="gramEnd"/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旋转大轴外径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34mm内径24mm无缝钢管轴，大轴支撑压盖为国标6#槽钢。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翻桶吊杆机</w:t>
            </w:r>
            <w:proofErr w:type="gramEnd"/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有防变形保护装置，吊杆上下端固定销轴为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8.8级。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液压动力单元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采用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72V直流电机与油泵一体化连接。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车架材质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大梁采用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80*40*3.5mm矩形管，并做阴极电泳防腐防锈处理。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最大爬坡度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≥15°</w:t>
            </w:r>
            <w:r>
              <w:rPr>
                <w:rStyle w:val="font21"/>
                <w:rFonts w:hint="default"/>
                <w:sz w:val="16"/>
                <w:szCs w:val="16"/>
                <w:lang w:bidi="ar"/>
              </w:rPr>
              <w:t>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电池组摆放方式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对向顺列式左边平衡配重式摆放。电池组上方加有防水盖板。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油缸类型配置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2003" w:rsidRDefault="005A56D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翻桶器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使用单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行程双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油缸，车厢举升使用单行程单向加粗油缸。</w:t>
            </w:r>
          </w:p>
        </w:tc>
      </w:tr>
      <w:tr w:rsidR="004A2003">
        <w:trPr>
          <w:trHeight w:val="285"/>
        </w:trPr>
        <w:tc>
          <w:tcPr>
            <w:tcW w:w="2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:rsidR="004A2003" w:rsidRDefault="004A2003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003" w:rsidRDefault="005A56D3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油管线路布局方式</w:t>
            </w:r>
          </w:p>
        </w:tc>
        <w:tc>
          <w:tcPr>
            <w:tcW w:w="33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003" w:rsidRDefault="005A56D3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 w:bidi="ar"/>
              </w:rPr>
              <w:t>布置在车架侧面，不在车架底面，防止行驶中被路面上异物拌断。</w:t>
            </w:r>
          </w:p>
        </w:tc>
      </w:tr>
    </w:tbl>
    <w:p w:rsidR="004A2003" w:rsidRDefault="004A2003">
      <w:pPr>
        <w:spacing w:line="360" w:lineRule="auto"/>
        <w:ind w:firstLineChars="200" w:firstLine="422"/>
        <w:rPr>
          <w:rFonts w:ascii="仿宋_GB2312" w:eastAsia="仿宋_GB2312" w:hAnsi="仿宋_GB2312" w:cs="仿宋_GB2312"/>
          <w:b/>
          <w:szCs w:val="21"/>
        </w:rPr>
      </w:pPr>
    </w:p>
    <w:p w:rsidR="004A2003" w:rsidRDefault="005A56D3">
      <w:pPr>
        <w:spacing w:line="336" w:lineRule="auto"/>
        <w:ind w:firstLineChars="200" w:firstLine="643"/>
        <w:rPr>
          <w:rFonts w:ascii="仿宋_GB2312" w:eastAsia="仿宋_GB2312" w:hAnsi="仿宋_GB2312" w:cs="仿宋_GB2312"/>
          <w:b/>
          <w:sz w:val="32"/>
          <w:szCs w:val="32"/>
        </w:rPr>
      </w:pPr>
      <w:r w:rsidRPr="0046179C">
        <w:rPr>
          <w:rFonts w:ascii="黑体" w:eastAsia="黑体" w:hAnsi="黑体" w:cs="黑体" w:hint="eastAsia"/>
          <w:b/>
          <w:sz w:val="32"/>
          <w:szCs w:val="32"/>
        </w:rPr>
        <w:t>三、</w:t>
      </w:r>
      <w:r>
        <w:rPr>
          <w:rFonts w:ascii="仿宋_GB2312" w:eastAsia="仿宋_GB2312" w:hAnsi="仿宋_GB2312" w:cs="仿宋_GB2312" w:hint="eastAsia"/>
          <w:b/>
          <w:sz w:val="32"/>
          <w:szCs w:val="32"/>
        </w:rPr>
        <w:t>★</w:t>
      </w:r>
      <w:r w:rsidRPr="0046179C">
        <w:rPr>
          <w:rFonts w:ascii="黑体" w:eastAsia="黑体" w:hAnsi="黑体" w:cs="黑体" w:hint="eastAsia"/>
          <w:b/>
          <w:sz w:val="32"/>
          <w:szCs w:val="32"/>
        </w:rPr>
        <w:t>其他服务要求</w:t>
      </w:r>
    </w:p>
    <w:p w:rsidR="004A2003" w:rsidRDefault="005A56D3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（1）供应商必须清楚理解并承诺满足本条款要求：若中标，提供的电动三轮侧翻桶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清运车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的数量及质量需符合参数要求</w:t>
      </w:r>
      <w:r w:rsidR="0046179C" w:rsidRPr="00CB4B6D">
        <w:rPr>
          <w:rFonts w:ascii="仿宋_GB2312" w:eastAsia="仿宋_GB2312" w:hAnsi="仿宋_GB2312" w:cs="仿宋_GB2312" w:hint="eastAsia"/>
          <w:sz w:val="32"/>
          <w:szCs w:val="32"/>
        </w:rPr>
        <w:t>（提供承诺书，格式自拟）</w:t>
      </w:r>
      <w:r w:rsidRPr="00CB4B6D"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4A2003" w:rsidRDefault="005A56D3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（2）</w:t>
      </w:r>
      <w:r w:rsidR="0046179C" w:rsidRPr="00CB4B6D">
        <w:rPr>
          <w:rFonts w:ascii="仿宋_GB2312" w:eastAsia="仿宋_GB2312" w:hAnsi="仿宋_GB2312" w:cs="仿宋_GB2312" w:hint="eastAsia"/>
          <w:sz w:val="32"/>
          <w:szCs w:val="32"/>
        </w:rPr>
        <w:t>合同签署前</w:t>
      </w:r>
      <w:r w:rsidR="009A5536" w:rsidRPr="00CB4B6D">
        <w:rPr>
          <w:rFonts w:ascii="仿宋_GB2312" w:eastAsia="仿宋_GB2312" w:hAnsi="仿宋_GB2312" w:cs="仿宋_GB2312" w:hint="eastAsia"/>
          <w:sz w:val="32"/>
          <w:szCs w:val="32"/>
        </w:rPr>
        <w:t>，</w:t>
      </w:r>
      <w:r>
        <w:rPr>
          <w:rFonts w:ascii="仿宋_GB2312" w:eastAsia="仿宋_GB2312" w:hAnsi="仿宋_GB2312" w:cs="仿宋_GB2312" w:hint="eastAsia"/>
          <w:sz w:val="32"/>
          <w:szCs w:val="32"/>
        </w:rPr>
        <w:t>供应商需提供车辆的出厂合格证，资料均提供复印件加盖投标人公章。</w:t>
      </w:r>
      <w:r>
        <w:rPr>
          <w:rFonts w:ascii="仿宋_GB2312" w:eastAsia="仿宋_GB2312" w:hAnsi="仿宋_GB2312" w:cs="仿宋_GB2312" w:hint="eastAsia"/>
          <w:sz w:val="32"/>
          <w:szCs w:val="32"/>
        </w:rPr>
        <w:br/>
        <w:t xml:space="preserve">    （3）供应商必</w:t>
      </w:r>
      <w:bookmarkStart w:id="0" w:name="_GoBack"/>
      <w:bookmarkEnd w:id="0"/>
      <w:r>
        <w:rPr>
          <w:rFonts w:ascii="仿宋_GB2312" w:eastAsia="仿宋_GB2312" w:hAnsi="仿宋_GB2312" w:cs="仿宋_GB2312" w:hint="eastAsia"/>
          <w:sz w:val="32"/>
          <w:szCs w:val="32"/>
        </w:rPr>
        <w:t>须清楚理解并承诺满足本条款要求：中标人必须安排 1名专职管理人员配合采购人负责有关该车辆的使用指导，管理人员应及时反映和协助解决服务工作期间遇到的问题。</w:t>
      </w:r>
    </w:p>
    <w:p w:rsidR="004A2003" w:rsidRDefault="005A56D3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（4）中标后供应商应在5个日历日内，将电动三轮侧翻桶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清运车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运送到两校区，并免费提供车辆日常使用的培训工作，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售后维保1年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  <w:r>
        <w:rPr>
          <w:rFonts w:ascii="仿宋_GB2312" w:eastAsia="仿宋_GB2312" w:hAnsi="仿宋_GB2312" w:cs="仿宋_GB2312" w:hint="eastAsia"/>
          <w:sz w:val="32"/>
          <w:szCs w:val="32"/>
        </w:rPr>
        <w:br/>
        <w:t xml:space="preserve">   </w:t>
      </w:r>
    </w:p>
    <w:sectPr w:rsidR="004A200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968" w:rsidRDefault="00536968" w:rsidP="0046179C">
      <w:r>
        <w:separator/>
      </w:r>
    </w:p>
  </w:endnote>
  <w:endnote w:type="continuationSeparator" w:id="0">
    <w:p w:rsidR="00536968" w:rsidRDefault="00536968" w:rsidP="00461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1" w:subsetted="1" w:fontKey="{04802632-BB6C-4172-B0F6-93F031A5856C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04CCA8DE-E79E-401C-B3E2-C50B05A0C06D}"/>
    <w:embedBold r:id="rId3" w:subsetted="1" w:fontKey="{14D95491-C3BB-4544-801B-35AA8536AF5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968" w:rsidRDefault="00536968" w:rsidP="0046179C">
      <w:r>
        <w:separator/>
      </w:r>
    </w:p>
  </w:footnote>
  <w:footnote w:type="continuationSeparator" w:id="0">
    <w:p w:rsidR="00536968" w:rsidRDefault="00536968" w:rsidP="00461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E111C"/>
    <w:multiLevelType w:val="singleLevel"/>
    <w:tmpl w:val="193E111C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iM2Q0ZmUzMWExNTA5OGNkY2Y1OGFjMjhjN2NjZDEifQ=="/>
    <w:docVar w:name="KSO_WPS_MARK_KEY" w:val="dae22a6d-3ca4-4c50-9e9b-d224832ac67b"/>
  </w:docVars>
  <w:rsids>
    <w:rsidRoot w:val="004A718E"/>
    <w:rsid w:val="0017357D"/>
    <w:rsid w:val="00187869"/>
    <w:rsid w:val="001B1D2C"/>
    <w:rsid w:val="002B1AF3"/>
    <w:rsid w:val="00453342"/>
    <w:rsid w:val="0046179C"/>
    <w:rsid w:val="00494B26"/>
    <w:rsid w:val="004A2003"/>
    <w:rsid w:val="004A718E"/>
    <w:rsid w:val="004E54E3"/>
    <w:rsid w:val="00501EB1"/>
    <w:rsid w:val="00536968"/>
    <w:rsid w:val="005A56D3"/>
    <w:rsid w:val="008769BD"/>
    <w:rsid w:val="00962831"/>
    <w:rsid w:val="00970D0C"/>
    <w:rsid w:val="009A5536"/>
    <w:rsid w:val="009D1061"/>
    <w:rsid w:val="00A94324"/>
    <w:rsid w:val="00AD17AF"/>
    <w:rsid w:val="00BD0505"/>
    <w:rsid w:val="00C33A52"/>
    <w:rsid w:val="00C3554B"/>
    <w:rsid w:val="00CB4B6D"/>
    <w:rsid w:val="00FC7301"/>
    <w:rsid w:val="071311AA"/>
    <w:rsid w:val="07C879D4"/>
    <w:rsid w:val="09A71B40"/>
    <w:rsid w:val="09E30FC8"/>
    <w:rsid w:val="0BC93AD3"/>
    <w:rsid w:val="0D4976B1"/>
    <w:rsid w:val="0D4F6A66"/>
    <w:rsid w:val="0E6D3CDD"/>
    <w:rsid w:val="0EFF22AA"/>
    <w:rsid w:val="0FFE72BC"/>
    <w:rsid w:val="12FE1DDF"/>
    <w:rsid w:val="158540DD"/>
    <w:rsid w:val="17DE76A9"/>
    <w:rsid w:val="199D3805"/>
    <w:rsid w:val="1F4D5AC8"/>
    <w:rsid w:val="1FA86D80"/>
    <w:rsid w:val="216A69E1"/>
    <w:rsid w:val="255C6727"/>
    <w:rsid w:val="26597496"/>
    <w:rsid w:val="26903318"/>
    <w:rsid w:val="2D8B7555"/>
    <w:rsid w:val="30354080"/>
    <w:rsid w:val="317B232D"/>
    <w:rsid w:val="330F4491"/>
    <w:rsid w:val="33A57E38"/>
    <w:rsid w:val="35BA46B2"/>
    <w:rsid w:val="36F529AF"/>
    <w:rsid w:val="36FF3742"/>
    <w:rsid w:val="396D1BAC"/>
    <w:rsid w:val="3CA04343"/>
    <w:rsid w:val="3DFD6502"/>
    <w:rsid w:val="3EEC344B"/>
    <w:rsid w:val="44E51517"/>
    <w:rsid w:val="456321CC"/>
    <w:rsid w:val="45B408EB"/>
    <w:rsid w:val="4A1B0F03"/>
    <w:rsid w:val="4B032C71"/>
    <w:rsid w:val="51C969FA"/>
    <w:rsid w:val="573C08AD"/>
    <w:rsid w:val="5B88363D"/>
    <w:rsid w:val="627047DA"/>
    <w:rsid w:val="697B0A9F"/>
    <w:rsid w:val="6D0D4676"/>
    <w:rsid w:val="6DE542FF"/>
    <w:rsid w:val="6E1149E1"/>
    <w:rsid w:val="6FFB1846"/>
    <w:rsid w:val="716E3926"/>
    <w:rsid w:val="71E00B4B"/>
    <w:rsid w:val="72680B55"/>
    <w:rsid w:val="72C84814"/>
    <w:rsid w:val="75954540"/>
    <w:rsid w:val="79057086"/>
    <w:rsid w:val="7A44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99" w:qFormat="1"/>
    <w:lsdException w:name="header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iPriority="99" w:qFormat="1"/>
    <w:lsdException w:name="Table Grid" w:semiHidden="0" w:uiPriority="59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qFormat/>
    <w:pPr>
      <w:jc w:val="left"/>
    </w:pPr>
    <w:rPr>
      <w:rFonts w:ascii="Times New Roman" w:hAnsi="Times New Roman"/>
      <w:szCs w:val="24"/>
    </w:rPr>
  </w:style>
  <w:style w:type="paragraph" w:styleId="a4">
    <w:name w:val="Balloon Text"/>
    <w:basedOn w:val="a"/>
    <w:link w:val="Char0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Char1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unhideWhenUsed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rFonts w:cs="Times New Roman"/>
      <w:b/>
      <w:bCs/>
    </w:rPr>
  </w:style>
  <w:style w:type="character" w:styleId="a9">
    <w:name w:val="annotation reference"/>
    <w:unhideWhenUsed/>
    <w:qFormat/>
    <w:rPr>
      <w:sz w:val="21"/>
      <w:szCs w:val="21"/>
    </w:rPr>
  </w:style>
  <w:style w:type="paragraph" w:customStyle="1" w:styleId="1">
    <w:name w:val="列出段落1"/>
    <w:basedOn w:val="a"/>
    <w:uiPriority w:val="99"/>
    <w:unhideWhenUsed/>
    <w:qFormat/>
    <w:pPr>
      <w:ind w:firstLineChars="200" w:firstLine="420"/>
    </w:pPr>
  </w:style>
  <w:style w:type="character" w:customStyle="1" w:styleId="Char">
    <w:name w:val="批注文字 Char"/>
    <w:basedOn w:val="a0"/>
    <w:link w:val="a3"/>
    <w:uiPriority w:val="99"/>
    <w:qFormat/>
    <w:rPr>
      <w:rFonts w:ascii="Times New Roman" w:hAnsi="Times New Roman" w:cs="Times New Roman"/>
      <w:color w:val="auto"/>
      <w:kern w:val="2"/>
      <w:sz w:val="21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Calibri" w:hAnsi="Calibri" w:cs="Times New Roman"/>
      <w:color w:val="auto"/>
      <w:kern w:val="2"/>
      <w:sz w:val="18"/>
      <w:szCs w:val="18"/>
    </w:rPr>
  </w:style>
  <w:style w:type="character" w:customStyle="1" w:styleId="Char2">
    <w:name w:val="页眉 Char"/>
    <w:basedOn w:val="a0"/>
    <w:link w:val="a6"/>
    <w:semiHidden/>
    <w:qFormat/>
    <w:rPr>
      <w:rFonts w:ascii="Calibri" w:hAnsi="Calibri" w:cs="Times New Roman"/>
      <w:kern w:val="2"/>
      <w:sz w:val="18"/>
      <w:szCs w:val="18"/>
    </w:rPr>
  </w:style>
  <w:style w:type="character" w:customStyle="1" w:styleId="Char1">
    <w:name w:val="页脚 Char"/>
    <w:basedOn w:val="a0"/>
    <w:link w:val="a5"/>
    <w:semiHidden/>
    <w:qFormat/>
    <w:rPr>
      <w:rFonts w:ascii="Calibri" w:hAnsi="Calibri" w:cs="Times New Roman"/>
      <w:kern w:val="2"/>
      <w:sz w:val="18"/>
      <w:szCs w:val="18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99" w:qFormat="1"/>
    <w:lsdException w:name="header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iPriority="99" w:qFormat="1"/>
    <w:lsdException w:name="Table Grid" w:semiHidden="0" w:uiPriority="59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qFormat/>
    <w:pPr>
      <w:jc w:val="left"/>
    </w:pPr>
    <w:rPr>
      <w:rFonts w:ascii="Times New Roman" w:hAnsi="Times New Roman"/>
      <w:szCs w:val="24"/>
    </w:rPr>
  </w:style>
  <w:style w:type="paragraph" w:styleId="a4">
    <w:name w:val="Balloon Text"/>
    <w:basedOn w:val="a"/>
    <w:link w:val="Char0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Char1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unhideWhenUsed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rFonts w:cs="Times New Roman"/>
      <w:b/>
      <w:bCs/>
    </w:rPr>
  </w:style>
  <w:style w:type="character" w:styleId="a9">
    <w:name w:val="annotation reference"/>
    <w:unhideWhenUsed/>
    <w:qFormat/>
    <w:rPr>
      <w:sz w:val="21"/>
      <w:szCs w:val="21"/>
    </w:rPr>
  </w:style>
  <w:style w:type="paragraph" w:customStyle="1" w:styleId="1">
    <w:name w:val="列出段落1"/>
    <w:basedOn w:val="a"/>
    <w:uiPriority w:val="99"/>
    <w:unhideWhenUsed/>
    <w:qFormat/>
    <w:pPr>
      <w:ind w:firstLineChars="200" w:firstLine="420"/>
    </w:pPr>
  </w:style>
  <w:style w:type="character" w:customStyle="1" w:styleId="Char">
    <w:name w:val="批注文字 Char"/>
    <w:basedOn w:val="a0"/>
    <w:link w:val="a3"/>
    <w:uiPriority w:val="99"/>
    <w:qFormat/>
    <w:rPr>
      <w:rFonts w:ascii="Times New Roman" w:hAnsi="Times New Roman" w:cs="Times New Roman"/>
      <w:color w:val="auto"/>
      <w:kern w:val="2"/>
      <w:sz w:val="21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Calibri" w:hAnsi="Calibri" w:cs="Times New Roman"/>
      <w:color w:val="auto"/>
      <w:kern w:val="2"/>
      <w:sz w:val="18"/>
      <w:szCs w:val="18"/>
    </w:rPr>
  </w:style>
  <w:style w:type="character" w:customStyle="1" w:styleId="Char2">
    <w:name w:val="页眉 Char"/>
    <w:basedOn w:val="a0"/>
    <w:link w:val="a6"/>
    <w:semiHidden/>
    <w:qFormat/>
    <w:rPr>
      <w:rFonts w:ascii="Calibri" w:hAnsi="Calibri" w:cs="Times New Roman"/>
      <w:kern w:val="2"/>
      <w:sz w:val="18"/>
      <w:szCs w:val="18"/>
    </w:rPr>
  </w:style>
  <w:style w:type="character" w:customStyle="1" w:styleId="Char1">
    <w:name w:val="页脚 Char"/>
    <w:basedOn w:val="a0"/>
    <w:link w:val="a5"/>
    <w:semiHidden/>
    <w:qFormat/>
    <w:rPr>
      <w:rFonts w:ascii="Calibri" w:hAnsi="Calibri" w:cs="Times New Roman"/>
      <w:kern w:val="2"/>
      <w:sz w:val="18"/>
      <w:szCs w:val="18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292</Words>
  <Characters>1667</Characters>
  <Application>Microsoft Office Word</Application>
  <DocSecurity>0</DocSecurity>
  <Lines>13</Lines>
  <Paragraphs>3</Paragraphs>
  <ScaleCrop>false</ScaleCrop>
  <Company>Microsoft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用户需求书</dc:title>
  <dc:creator>AutoBVT</dc:creator>
  <cp:lastModifiedBy>游伟</cp:lastModifiedBy>
  <cp:revision>4</cp:revision>
  <dcterms:created xsi:type="dcterms:W3CDTF">2022-08-23T07:53:00Z</dcterms:created>
  <dcterms:modified xsi:type="dcterms:W3CDTF">2025-04-30T02:30:00Z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BFC4AEC756114FA9B1277172BDACC411_13</vt:lpwstr>
  </property>
  <property fmtid="{D5CDD505-2E9C-101B-9397-08002B2CF9AE}" pid="4" name="KSOTemplateDocerSaveRecord">
    <vt:lpwstr>eyJoZGlkIjoiZThiM2Q0ZmUzMWExNTA5OGNkY2Y1OGFjMjhjN2NjZDEiLCJ1c2VySWQiOiIzOTMxODc3NDIifQ==</vt:lpwstr>
  </property>
</Properties>
</file>